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01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Nº 308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01</w:t>
      </w:r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Pr="0064625B">
        <w:rPr>
          <w:rFonts w:ascii="Arial" w:eastAsia="Times New Roman" w:hAnsi="Arial" w:cs="Arial"/>
          <w:bCs/>
          <w:sz w:val="24"/>
          <w:szCs w:val="24"/>
          <w:lang w:eastAsia="pt-BR"/>
        </w:rPr>
        <w:t>Contratação de empresa especializada para execução dos serviços de: Construção da Unidade Básica de Saúde - UBS Porte IV no Bairro Porto Seguro, em atendimento as necessidades da Secretaria Municipal de Saúde, da Prefeitura Municipal de Sidrolândia – MS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657"/>
        <w:gridCol w:w="4284"/>
        <w:gridCol w:w="640"/>
        <w:gridCol w:w="799"/>
        <w:gridCol w:w="2114"/>
      </w:tblGrid>
      <w:tr w:rsidR="0064625B" w:rsidRPr="00167854" w:rsidTr="0064625B">
        <w:tc>
          <w:tcPr>
            <w:tcW w:w="698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Item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Descrição do Serviço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proofErr w:type="spellStart"/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Qte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Unid.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Valor Total</w:t>
            </w:r>
          </w:p>
        </w:tc>
      </w:tr>
      <w:tr w:rsidR="0064625B" w:rsidRPr="00167854" w:rsidTr="00751253">
        <w:tc>
          <w:tcPr>
            <w:tcW w:w="698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 w:rsidRPr="008728E7">
              <w:rPr>
                <w:color w:val="000000"/>
              </w:rPr>
              <w:t>01</w:t>
            </w:r>
          </w:p>
        </w:tc>
        <w:tc>
          <w:tcPr>
            <w:tcW w:w="4565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  <w:sz w:val="22"/>
                <w:szCs w:val="22"/>
              </w:rPr>
            </w:pPr>
            <w:r>
              <w:t xml:space="preserve">Construção da Unidade Básica de Saúde – UBS Porte IV, localizada no Bairro Porto Seguro, no Município de Sidrolândia/MS, compreendendo a execução de todos os serviços, fornecimento de materiais, mão de obra, equipamentos, instalações, acabamentos, infraestrutura, sistemas complementares e demais itens necessários à conclusão da obra, conforme projetos, memoriais descritivos, planilhas orçamentárias e </w:t>
            </w:r>
            <w:r>
              <w:lastRenderedPageBreak/>
              <w:t>demais documentos técnicos que integram o processo.</w:t>
            </w:r>
          </w:p>
        </w:tc>
        <w:tc>
          <w:tcPr>
            <w:tcW w:w="680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>
              <w:rPr>
                <w:color w:val="000000"/>
              </w:rPr>
              <w:t>SV</w:t>
            </w:r>
          </w:p>
        </w:tc>
        <w:tc>
          <w:tcPr>
            <w:tcW w:w="2252" w:type="dxa"/>
            <w:vAlign w:val="center"/>
          </w:tcPr>
          <w:p w:rsidR="0064625B" w:rsidRPr="001C4499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Validade da proposta deverá ser no mínimo de 60 (sessenta) dias a contar de sua apresentação.</w:t>
      </w:r>
    </w:p>
    <w:p w:rsidR="0064625B" w:rsidRP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4-Total Geral da Proposta: _____________________________________________</w:t>
      </w: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5- Prazo de Entrega dos Serviços: ______________________________________</w:t>
      </w: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Validade da Proposta: ______________________________________________</w:t>
      </w: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Local e Data: _____________________________________________________</w:t>
      </w: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8- Telefone: ______________ Banco: ____________Ag:______ CC:___________</w:t>
      </w:r>
    </w:p>
    <w:p w:rsidR="0064625B" w:rsidRPr="0064625B" w:rsidRDefault="0064625B" w:rsidP="0064625B">
      <w:pPr>
        <w:spacing w:after="0" w:line="240" w:lineRule="auto"/>
        <w:ind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p w:rsidR="0064625B" w:rsidRPr="0064625B" w:rsidRDefault="0064625B" w:rsidP="006462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74F37" w:rsidRDefault="00174F37"/>
    <w:sectPr w:rsidR="00174F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6462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-298974</wp:posOffset>
          </wp:positionV>
          <wp:extent cx="3665220" cy="751205"/>
          <wp:effectExtent l="0" t="0" r="0" b="0"/>
          <wp:wrapTight wrapText="bothSides">
            <wp:wrapPolygon edited="0">
              <wp:start x="5277" y="0"/>
              <wp:lineTo x="0" y="6025"/>
              <wp:lineTo x="0" y="12598"/>
              <wp:lineTo x="5277" y="17528"/>
              <wp:lineTo x="5277" y="20815"/>
              <wp:lineTo x="9767" y="20815"/>
              <wp:lineTo x="10778" y="20815"/>
              <wp:lineTo x="20320" y="18076"/>
              <wp:lineTo x="21443" y="16433"/>
              <wp:lineTo x="21443" y="3834"/>
              <wp:lineTo x="19759" y="2739"/>
              <wp:lineTo x="9992" y="0"/>
              <wp:lineTo x="527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64625B"/>
    <w:rsid w:val="00AC6BFB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2026-01-20T12:05:00Z</cp:lastPrinted>
  <dcterms:created xsi:type="dcterms:W3CDTF">2026-01-15T18:13:00Z</dcterms:created>
  <dcterms:modified xsi:type="dcterms:W3CDTF">2026-01-20T12:05:00Z</dcterms:modified>
</cp:coreProperties>
</file>